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C536" w14:textId="77777777" w:rsidR="008D69B1" w:rsidRPr="008D69B1" w:rsidRDefault="008D69B1" w:rsidP="008D69B1">
      <w:pPr>
        <w:pStyle w:val="ListParagraph"/>
        <w:ind w:left="480"/>
        <w:rPr>
          <w:rFonts w:ascii="Times New Roman" w:hAnsi="Times New Roman"/>
          <w:bCs/>
          <w:szCs w:val="24"/>
        </w:rPr>
      </w:pPr>
      <w:r>
        <w:rPr>
          <w:rFonts w:ascii="Times New Roman" w:hAnsi="Times New Roman"/>
          <w:b/>
          <w:bCs/>
          <w:noProof/>
          <w:szCs w:val="24"/>
        </w:rPr>
        <w:drawing>
          <wp:inline distT="0" distB="0" distL="0" distR="0" wp14:anchorId="3E62E72A" wp14:editId="3B54C94D">
            <wp:extent cx="3600450"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Bank_Landscape_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450" cy="1440180"/>
                    </a:xfrm>
                    <a:prstGeom prst="rect">
                      <a:avLst/>
                    </a:prstGeom>
                  </pic:spPr>
                </pic:pic>
              </a:graphicData>
            </a:graphic>
          </wp:inline>
        </w:drawing>
      </w:r>
    </w:p>
    <w:p w14:paraId="6F2BE725" w14:textId="024F5FDF" w:rsidR="008D69B1" w:rsidRDefault="008D69B1" w:rsidP="008D69B1">
      <w:pPr>
        <w:pStyle w:val="ListParagraph"/>
        <w:ind w:left="480"/>
        <w:rPr>
          <w:rFonts w:ascii="Times New Roman" w:hAnsi="Times New Roman"/>
          <w:bCs/>
          <w:szCs w:val="24"/>
        </w:rPr>
      </w:pPr>
    </w:p>
    <w:p w14:paraId="1CF6AA38" w14:textId="77777777" w:rsidR="008D69B1" w:rsidRPr="008D69B1" w:rsidRDefault="008D69B1" w:rsidP="008D69B1">
      <w:pPr>
        <w:pStyle w:val="ListParagraph"/>
        <w:ind w:left="480"/>
        <w:rPr>
          <w:rFonts w:ascii="Times New Roman" w:hAnsi="Times New Roman"/>
          <w:bCs/>
          <w:szCs w:val="24"/>
        </w:rPr>
      </w:pPr>
    </w:p>
    <w:p w14:paraId="47A5499E" w14:textId="3EBB6BBC" w:rsidR="00AC4068" w:rsidRPr="00192DFA" w:rsidRDefault="004C3F29" w:rsidP="00AC4068">
      <w:pPr>
        <w:pStyle w:val="ListParagraph"/>
        <w:numPr>
          <w:ilvl w:val="0"/>
          <w:numId w:val="1"/>
        </w:numPr>
        <w:rPr>
          <w:rFonts w:ascii="Times New Roman" w:hAnsi="Times New Roman"/>
          <w:bCs/>
          <w:szCs w:val="24"/>
        </w:rPr>
      </w:pPr>
      <w:r>
        <w:rPr>
          <w:rFonts w:ascii="Times New Roman" w:hAnsi="Times New Roman"/>
          <w:b/>
          <w:bCs/>
          <w:szCs w:val="24"/>
        </w:rPr>
        <w:t>Contractors/Sub</w:t>
      </w:r>
      <w:r w:rsidR="008D69B1">
        <w:rPr>
          <w:rFonts w:ascii="Times New Roman" w:hAnsi="Times New Roman"/>
          <w:b/>
          <w:bCs/>
          <w:szCs w:val="24"/>
        </w:rPr>
        <w:t>-</w:t>
      </w:r>
      <w:r>
        <w:rPr>
          <w:rFonts w:ascii="Times New Roman" w:hAnsi="Times New Roman"/>
          <w:b/>
          <w:bCs/>
          <w:szCs w:val="24"/>
        </w:rPr>
        <w:t>Contractor Requirements</w:t>
      </w:r>
    </w:p>
    <w:p w14:paraId="2B061F1F" w14:textId="77777777" w:rsidR="00AC4068" w:rsidRPr="00192DFA" w:rsidRDefault="00AC4068" w:rsidP="00AC4068">
      <w:pPr>
        <w:pStyle w:val="ListParagraph"/>
        <w:ind w:left="480"/>
        <w:rPr>
          <w:rFonts w:ascii="Times New Roman" w:hAnsi="Times New Roman"/>
          <w:bCs/>
          <w:szCs w:val="24"/>
        </w:rPr>
      </w:pPr>
    </w:p>
    <w:p w14:paraId="24E4B13E" w14:textId="77777777" w:rsidR="00AC4068" w:rsidRPr="00192DFA" w:rsidRDefault="00AC4068" w:rsidP="00AC4068">
      <w:pPr>
        <w:pStyle w:val="ListParagraph"/>
        <w:numPr>
          <w:ilvl w:val="1"/>
          <w:numId w:val="1"/>
        </w:numPr>
        <w:rPr>
          <w:rFonts w:ascii="Times New Roman" w:hAnsi="Times New Roman"/>
          <w:bCs/>
          <w:szCs w:val="24"/>
        </w:rPr>
      </w:pPr>
      <w:r w:rsidRPr="00192DFA">
        <w:rPr>
          <w:rFonts w:ascii="Times New Roman" w:hAnsi="Times New Roman"/>
          <w:b/>
          <w:bCs/>
          <w:szCs w:val="24"/>
        </w:rPr>
        <w:t>Minimum Requirements.</w:t>
      </w:r>
      <w:r w:rsidRPr="00192DFA">
        <w:rPr>
          <w:rFonts w:ascii="Times New Roman" w:hAnsi="Times New Roman"/>
          <w:bCs/>
          <w:szCs w:val="24"/>
        </w:rPr>
        <w:t xml:space="preserve"> The Grantee must review the financial and performance background of any contractor, subcontractor, consultant or other entity it enters into an agreement with to provide services funded in connection with this Agreement (referred to as “Subcontractor(s)”). All Subcontractors must comply with the following minimum criteria:</w:t>
      </w:r>
    </w:p>
    <w:p w14:paraId="74706E36" w14:textId="77777777" w:rsidR="00AC4068" w:rsidRPr="00192DFA" w:rsidRDefault="00AC4068" w:rsidP="00AC4068">
      <w:pPr>
        <w:ind w:left="480"/>
        <w:rPr>
          <w:rFonts w:ascii="Times New Roman" w:hAnsi="Times New Roman"/>
          <w:bCs/>
          <w:szCs w:val="24"/>
        </w:rPr>
      </w:pPr>
    </w:p>
    <w:p w14:paraId="184113E4" w14:textId="55EDA781"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 xml:space="preserve">Be legally licensed </w:t>
      </w:r>
      <w:r w:rsidR="008D69B1">
        <w:rPr>
          <w:rFonts w:ascii="Times New Roman" w:hAnsi="Times New Roman"/>
          <w:bCs/>
          <w:szCs w:val="24"/>
        </w:rPr>
        <w:t xml:space="preserve">(if required in your industry) </w:t>
      </w:r>
      <w:r w:rsidRPr="00192DFA">
        <w:rPr>
          <w:rFonts w:ascii="Times New Roman" w:hAnsi="Times New Roman"/>
          <w:bCs/>
          <w:szCs w:val="24"/>
        </w:rPr>
        <w:t>in New York State</w:t>
      </w:r>
    </w:p>
    <w:p w14:paraId="13A4D87D"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Have demonstrated prior experience in the rehabilitation or construction of housing in accordance with applicable codes, standards, rules, and regulations</w:t>
      </w:r>
    </w:p>
    <w:p w14:paraId="3611F1E7"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Use responsible and licensed subcontractors</w:t>
      </w:r>
    </w:p>
    <w:p w14:paraId="6979F120"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Have satisfactory bank reference</w:t>
      </w:r>
    </w:p>
    <w:p w14:paraId="06243A09"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Provide evidence of insurance in accordance with the requirements set forth below</w:t>
      </w:r>
    </w:p>
    <w:p w14:paraId="36D323D7"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Provide appropriate certifications by general contractor or sub-contractor for all lead-based paint and asbestos activities</w:t>
      </w:r>
    </w:p>
    <w:p w14:paraId="5D12CE43"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Have transparent and effective system for tracking costs and lien releases</w:t>
      </w:r>
    </w:p>
    <w:p w14:paraId="357FD468" w14:textId="77777777" w:rsidR="00AC4068" w:rsidRPr="00192DFA" w:rsidRDefault="00AC4068" w:rsidP="00AC4068">
      <w:pPr>
        <w:pStyle w:val="ListParagraph"/>
        <w:numPr>
          <w:ilvl w:val="0"/>
          <w:numId w:val="2"/>
        </w:numPr>
        <w:rPr>
          <w:rFonts w:ascii="Times New Roman" w:hAnsi="Times New Roman"/>
          <w:bCs/>
          <w:szCs w:val="24"/>
        </w:rPr>
      </w:pPr>
      <w:r w:rsidRPr="00192DFA">
        <w:rPr>
          <w:rFonts w:ascii="Times New Roman" w:hAnsi="Times New Roman"/>
          <w:bCs/>
          <w:szCs w:val="24"/>
        </w:rPr>
        <w:t>Have acceptable ratings as provided by Dun &amp; Bradstreet credit check, if applicable and if DUNS number is available</w:t>
      </w:r>
    </w:p>
    <w:p w14:paraId="04045B1F" w14:textId="77777777" w:rsidR="00AC4068" w:rsidRPr="00192DFA" w:rsidRDefault="00AC4068" w:rsidP="00AC4068">
      <w:pPr>
        <w:rPr>
          <w:rFonts w:ascii="Times New Roman" w:hAnsi="Times New Roman"/>
          <w:bCs/>
          <w:szCs w:val="24"/>
        </w:rPr>
      </w:pPr>
    </w:p>
    <w:p w14:paraId="362876B9" w14:textId="77777777" w:rsidR="00AC4068" w:rsidRPr="00192DFA" w:rsidRDefault="00AC4068" w:rsidP="00AC4068">
      <w:pPr>
        <w:ind w:left="810"/>
        <w:rPr>
          <w:rFonts w:ascii="Times New Roman" w:hAnsi="Times New Roman"/>
          <w:bCs/>
          <w:szCs w:val="24"/>
        </w:rPr>
      </w:pPr>
      <w:r w:rsidRPr="00192DFA">
        <w:rPr>
          <w:rFonts w:ascii="Times New Roman" w:hAnsi="Times New Roman"/>
          <w:bCs/>
          <w:szCs w:val="24"/>
        </w:rPr>
        <w:t>Subcontractors, including their own subcontractors, may not participate if they have a recent history of the following:</w:t>
      </w:r>
    </w:p>
    <w:p w14:paraId="495F7577" w14:textId="77777777" w:rsidR="00AC4068" w:rsidRPr="00192DFA" w:rsidRDefault="00AC4068" w:rsidP="00AC4068">
      <w:pPr>
        <w:pStyle w:val="ListParagraph"/>
        <w:ind w:left="480"/>
        <w:rPr>
          <w:rFonts w:ascii="Times New Roman" w:hAnsi="Times New Roman"/>
          <w:bCs/>
          <w:szCs w:val="24"/>
        </w:rPr>
      </w:pPr>
    </w:p>
    <w:p w14:paraId="6E2A4366"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Local, State, or Federal tax arrears</w:t>
      </w:r>
    </w:p>
    <w:p w14:paraId="666892D8"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Labor violations</w:t>
      </w:r>
    </w:p>
    <w:p w14:paraId="54D64CCC"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Arson, fraud, bribery, or grand larceny conviction or pending case</w:t>
      </w:r>
    </w:p>
    <w:p w14:paraId="3C4D1044"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A record of substantial building code violations or litigations on property controlled by the contractor or by any entity or individual that comprises the contracting entity</w:t>
      </w:r>
    </w:p>
    <w:p w14:paraId="7375D897"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Formal debarment or suspension from entering into contracts with any governmental agency or other notification or ineligibility for or prohibition against bidding or proposing on government contracts</w:t>
      </w:r>
    </w:p>
    <w:p w14:paraId="0B031B89" w14:textId="77777777" w:rsidR="00AC4068" w:rsidRPr="00192DFA" w:rsidRDefault="00AC4068" w:rsidP="00AC4068">
      <w:pPr>
        <w:pStyle w:val="ListParagraph"/>
        <w:numPr>
          <w:ilvl w:val="0"/>
          <w:numId w:val="3"/>
        </w:numPr>
        <w:rPr>
          <w:rFonts w:ascii="Times New Roman" w:hAnsi="Times New Roman"/>
          <w:bCs/>
          <w:szCs w:val="24"/>
        </w:rPr>
      </w:pPr>
      <w:r w:rsidRPr="00192DFA">
        <w:rPr>
          <w:rFonts w:ascii="Times New Roman" w:hAnsi="Times New Roman"/>
          <w:bCs/>
          <w:szCs w:val="24"/>
        </w:rPr>
        <w:t>Denial of a contract based on any obligation to, or unsatisfied judgment or lien held by, a governmental agency</w:t>
      </w:r>
    </w:p>
    <w:p w14:paraId="114401DB" w14:textId="77777777" w:rsidR="00AC4068" w:rsidRPr="00192DFA" w:rsidRDefault="00AC4068" w:rsidP="00AC4068">
      <w:pPr>
        <w:pStyle w:val="ListParagraph"/>
        <w:ind w:left="1080"/>
        <w:rPr>
          <w:rFonts w:ascii="Times New Roman" w:hAnsi="Times New Roman"/>
          <w:bCs/>
          <w:szCs w:val="24"/>
        </w:rPr>
      </w:pPr>
    </w:p>
    <w:p w14:paraId="7907F30A" w14:textId="77777777" w:rsidR="00AC4068" w:rsidRPr="00192DFA" w:rsidRDefault="00AC4068" w:rsidP="00AC4068">
      <w:pPr>
        <w:pStyle w:val="ListParagraph"/>
        <w:ind w:left="480"/>
        <w:rPr>
          <w:rFonts w:ascii="Times New Roman" w:hAnsi="Times New Roman"/>
          <w:bCs/>
          <w:szCs w:val="24"/>
        </w:rPr>
      </w:pPr>
    </w:p>
    <w:p w14:paraId="4103C796" w14:textId="77777777" w:rsidR="00AC4068" w:rsidRPr="00192DFA" w:rsidRDefault="00AC4068" w:rsidP="00AC4068">
      <w:pPr>
        <w:pStyle w:val="ListParagraph"/>
        <w:numPr>
          <w:ilvl w:val="1"/>
          <w:numId w:val="1"/>
        </w:numPr>
        <w:rPr>
          <w:rFonts w:ascii="Times New Roman" w:hAnsi="Times New Roman"/>
          <w:bCs/>
          <w:szCs w:val="24"/>
        </w:rPr>
      </w:pPr>
      <w:r w:rsidRPr="00192DFA">
        <w:rPr>
          <w:rFonts w:ascii="Times New Roman" w:hAnsi="Times New Roman"/>
          <w:b/>
          <w:bCs/>
          <w:szCs w:val="24"/>
        </w:rPr>
        <w:lastRenderedPageBreak/>
        <w:t xml:space="preserve">Insurance Requirements. </w:t>
      </w:r>
      <w:r w:rsidRPr="00192DFA">
        <w:rPr>
          <w:rFonts w:ascii="Times New Roman" w:hAnsi="Times New Roman"/>
          <w:bCs/>
          <w:szCs w:val="24"/>
        </w:rPr>
        <w:t xml:space="preserve">All Subcontractors shall carry commercially reasonable amounts of insurance, including at minimum the following: </w:t>
      </w:r>
    </w:p>
    <w:p w14:paraId="490C9032" w14:textId="77777777" w:rsidR="00AC4068" w:rsidRPr="00192DFA" w:rsidRDefault="00AC4068" w:rsidP="00AC4068">
      <w:pPr>
        <w:pStyle w:val="ListParagraph"/>
        <w:ind w:left="480"/>
        <w:rPr>
          <w:rFonts w:ascii="Times New Roman" w:hAnsi="Times New Roman"/>
          <w:bCs/>
          <w:szCs w:val="24"/>
        </w:rPr>
      </w:pPr>
    </w:p>
    <w:p w14:paraId="0204ABAE" w14:textId="77777777" w:rsidR="00AC4068" w:rsidRPr="00192DFA" w:rsidRDefault="00AC4068" w:rsidP="00AC4068">
      <w:pPr>
        <w:pStyle w:val="ListParagraph"/>
        <w:numPr>
          <w:ilvl w:val="0"/>
          <w:numId w:val="4"/>
        </w:numPr>
        <w:rPr>
          <w:rFonts w:ascii="Times New Roman" w:hAnsi="Times New Roman"/>
          <w:bCs/>
          <w:szCs w:val="24"/>
        </w:rPr>
      </w:pPr>
      <w:r w:rsidRPr="00192DFA">
        <w:rPr>
          <w:rFonts w:ascii="Times New Roman" w:hAnsi="Times New Roman"/>
          <w:bCs/>
          <w:szCs w:val="24"/>
        </w:rPr>
        <w:t xml:space="preserve">All Subcontractors must carry </w:t>
      </w:r>
      <w:r w:rsidRPr="00192DFA">
        <w:rPr>
          <w:rFonts w:ascii="Times New Roman" w:hAnsi="Times New Roman"/>
          <w:szCs w:val="24"/>
          <w:u w:val="single"/>
        </w:rPr>
        <w:t>Commercial General Liability Insurance</w:t>
      </w:r>
      <w:r w:rsidRPr="00192DFA">
        <w:rPr>
          <w:rFonts w:ascii="Times New Roman" w:hAnsi="Times New Roman"/>
          <w:szCs w:val="24"/>
        </w:rPr>
        <w:t xml:space="preserve"> in amounts not less than $1,000,000 per occurrence/per location, $2,000,000 in the annual aggregate, and $2,000,000 products/completed operations aggregate.</w:t>
      </w:r>
    </w:p>
    <w:p w14:paraId="083AD9B4" w14:textId="77777777" w:rsidR="00AC4068" w:rsidRPr="00192DFA" w:rsidRDefault="00AC4068" w:rsidP="00AC4068">
      <w:pPr>
        <w:pStyle w:val="ListParagraph"/>
        <w:ind w:left="1560"/>
        <w:rPr>
          <w:rFonts w:ascii="Times New Roman" w:hAnsi="Times New Roman"/>
          <w:bCs/>
          <w:szCs w:val="24"/>
        </w:rPr>
      </w:pPr>
    </w:p>
    <w:p w14:paraId="54BE774E" w14:textId="77777777" w:rsidR="00AC4068" w:rsidRPr="00192DFA" w:rsidRDefault="00AC4068" w:rsidP="00AC4068">
      <w:pPr>
        <w:pStyle w:val="ListParagraph"/>
        <w:numPr>
          <w:ilvl w:val="0"/>
          <w:numId w:val="4"/>
        </w:numPr>
        <w:rPr>
          <w:rFonts w:ascii="Times New Roman" w:hAnsi="Times New Roman"/>
          <w:bCs/>
          <w:szCs w:val="24"/>
        </w:rPr>
      </w:pPr>
      <w:r w:rsidRPr="00192DFA">
        <w:rPr>
          <w:rFonts w:ascii="Times New Roman" w:hAnsi="Times New Roman"/>
          <w:bCs/>
          <w:szCs w:val="24"/>
        </w:rPr>
        <w:t xml:space="preserve">All Subcontractors must carry </w:t>
      </w:r>
      <w:r w:rsidRPr="00192DFA">
        <w:rPr>
          <w:rFonts w:ascii="Times New Roman" w:hAnsi="Times New Roman"/>
          <w:bCs/>
          <w:szCs w:val="24"/>
          <w:u w:val="single"/>
        </w:rPr>
        <w:t>Auto Insurance</w:t>
      </w:r>
      <w:r w:rsidRPr="00192DFA">
        <w:rPr>
          <w:rFonts w:ascii="Times New Roman" w:hAnsi="Times New Roman"/>
          <w:bCs/>
          <w:szCs w:val="24"/>
        </w:rPr>
        <w:t xml:space="preserve"> in amounts not less than $1,000,000</w:t>
      </w:r>
    </w:p>
    <w:p w14:paraId="29F3BC8D" w14:textId="77777777" w:rsidR="00AC4068" w:rsidRPr="00192DFA" w:rsidRDefault="00AC4068" w:rsidP="00AC4068">
      <w:pPr>
        <w:pStyle w:val="ListParagraph"/>
        <w:rPr>
          <w:rFonts w:ascii="Times New Roman" w:hAnsi="Times New Roman"/>
          <w:bCs/>
          <w:szCs w:val="24"/>
        </w:rPr>
      </w:pPr>
    </w:p>
    <w:p w14:paraId="069533E2" w14:textId="77777777" w:rsidR="00AC4068" w:rsidRPr="00192DFA" w:rsidRDefault="00AC4068" w:rsidP="00AC4068">
      <w:pPr>
        <w:pStyle w:val="ListParagraph"/>
        <w:numPr>
          <w:ilvl w:val="0"/>
          <w:numId w:val="4"/>
        </w:numPr>
        <w:rPr>
          <w:rFonts w:ascii="Times New Roman" w:hAnsi="Times New Roman"/>
          <w:bCs/>
          <w:szCs w:val="24"/>
        </w:rPr>
      </w:pPr>
      <w:r w:rsidRPr="00192DFA">
        <w:rPr>
          <w:rFonts w:ascii="Times New Roman" w:hAnsi="Times New Roman"/>
          <w:bCs/>
          <w:szCs w:val="24"/>
        </w:rPr>
        <w:t xml:space="preserve">All Subcontractors must carry </w:t>
      </w:r>
      <w:r w:rsidRPr="00192DFA">
        <w:rPr>
          <w:rFonts w:ascii="Times New Roman" w:hAnsi="Times New Roman"/>
          <w:bCs/>
          <w:szCs w:val="24"/>
          <w:u w:val="single"/>
        </w:rPr>
        <w:t>Workers’ Compensation &amp; Disability Insurance</w:t>
      </w:r>
      <w:r w:rsidRPr="00192DFA">
        <w:rPr>
          <w:rFonts w:ascii="Times New Roman" w:hAnsi="Times New Roman"/>
          <w:bCs/>
          <w:szCs w:val="24"/>
        </w:rPr>
        <w:t xml:space="preserve"> in amounts complying with industry standards for the type of work that the Subcontractor is conducting.</w:t>
      </w:r>
    </w:p>
    <w:p w14:paraId="24F42398" w14:textId="77777777" w:rsidR="00AC4068" w:rsidRPr="00192DFA" w:rsidRDefault="00AC4068" w:rsidP="00AC4068">
      <w:pPr>
        <w:pStyle w:val="ListParagraph"/>
        <w:ind w:left="1560"/>
        <w:rPr>
          <w:rFonts w:ascii="Times New Roman" w:hAnsi="Times New Roman"/>
          <w:bCs/>
          <w:szCs w:val="24"/>
        </w:rPr>
      </w:pPr>
    </w:p>
    <w:p w14:paraId="4506446D" w14:textId="77777777" w:rsidR="00AC4068" w:rsidRPr="00192DFA" w:rsidRDefault="00AC4068" w:rsidP="00AC4068">
      <w:pPr>
        <w:pStyle w:val="ListParagraph"/>
        <w:numPr>
          <w:ilvl w:val="0"/>
          <w:numId w:val="4"/>
        </w:numPr>
        <w:rPr>
          <w:rFonts w:ascii="Times New Roman" w:hAnsi="Times New Roman"/>
          <w:bCs/>
          <w:szCs w:val="24"/>
        </w:rPr>
      </w:pPr>
      <w:r w:rsidRPr="00192DFA">
        <w:rPr>
          <w:rFonts w:ascii="Times New Roman" w:hAnsi="Times New Roman"/>
          <w:bCs/>
          <w:szCs w:val="24"/>
        </w:rPr>
        <w:t xml:space="preserve">If the Subcontractor will be involved in any environmental remediation of any kind, the Subcontractor must have </w:t>
      </w:r>
      <w:r w:rsidRPr="00192DFA">
        <w:rPr>
          <w:rFonts w:ascii="Times New Roman" w:hAnsi="Times New Roman"/>
          <w:bCs/>
          <w:szCs w:val="24"/>
          <w:u w:val="single"/>
        </w:rPr>
        <w:t>Environmental Pollution Liability Insurance</w:t>
      </w:r>
      <w:r w:rsidRPr="00192DFA">
        <w:rPr>
          <w:rFonts w:ascii="Times New Roman" w:hAnsi="Times New Roman"/>
          <w:bCs/>
          <w:szCs w:val="24"/>
        </w:rPr>
        <w:t xml:space="preserve"> with a $1,000,000 limit to new construction projects or demolition.</w:t>
      </w:r>
    </w:p>
    <w:p w14:paraId="1C7BEB02" w14:textId="77777777" w:rsidR="00AC4068" w:rsidRPr="00192DFA" w:rsidRDefault="00AC4068" w:rsidP="00AC4068">
      <w:pPr>
        <w:pStyle w:val="ListParagraph"/>
        <w:ind w:left="480"/>
        <w:rPr>
          <w:rFonts w:ascii="Times New Roman" w:hAnsi="Times New Roman"/>
          <w:bCs/>
          <w:szCs w:val="24"/>
        </w:rPr>
      </w:pPr>
    </w:p>
    <w:p w14:paraId="58F3644C" w14:textId="77777777" w:rsidR="00AC4068" w:rsidRPr="00192DFA" w:rsidRDefault="00AC4068" w:rsidP="00AC4068">
      <w:pPr>
        <w:pStyle w:val="ListParagraph"/>
        <w:numPr>
          <w:ilvl w:val="1"/>
          <w:numId w:val="1"/>
        </w:numPr>
        <w:rPr>
          <w:rFonts w:ascii="Times New Roman" w:hAnsi="Times New Roman"/>
          <w:bCs/>
          <w:szCs w:val="24"/>
        </w:rPr>
      </w:pPr>
      <w:r w:rsidRPr="00192DFA">
        <w:rPr>
          <w:rFonts w:ascii="Times New Roman" w:hAnsi="Times New Roman"/>
          <w:bCs/>
          <w:szCs w:val="24"/>
        </w:rPr>
        <w:t xml:space="preserve"> The Grantee shall incorporate by reference into any of its contracts with Subcontractors (the “Subcontracts”) the Subcontractor performance obligations under this Agreement and any and all applicable sections, subsections or attachments, including, without limitation, all representations, warranties and covenants.</w:t>
      </w:r>
    </w:p>
    <w:p w14:paraId="0C5B96C6" w14:textId="77777777" w:rsidR="00AC4068" w:rsidRPr="00756C16" w:rsidRDefault="00AC4068" w:rsidP="00AC4068">
      <w:pPr>
        <w:pStyle w:val="ListParagraph"/>
        <w:ind w:left="480"/>
        <w:rPr>
          <w:rFonts w:ascii="Times New Roman" w:hAnsi="Times New Roman"/>
          <w:bCs/>
          <w:sz w:val="22"/>
          <w:szCs w:val="22"/>
        </w:rPr>
      </w:pPr>
    </w:p>
    <w:p w14:paraId="30B3D145" w14:textId="77777777" w:rsidR="003B7E71" w:rsidRPr="00756C16" w:rsidRDefault="003B7E71" w:rsidP="003B7E71">
      <w:pPr>
        <w:widowControl w:val="0"/>
        <w:numPr>
          <w:ilvl w:val="0"/>
          <w:numId w:val="5"/>
        </w:numPr>
        <w:jc w:val="both"/>
        <w:rPr>
          <w:rFonts w:ascii="Times New Roman" w:hAnsi="Times New Roman"/>
          <w:b/>
          <w:spacing w:val="-3"/>
          <w:sz w:val="22"/>
          <w:szCs w:val="22"/>
        </w:rPr>
      </w:pPr>
      <w:r w:rsidRPr="00756C16">
        <w:rPr>
          <w:rFonts w:ascii="Times New Roman" w:hAnsi="Times New Roman"/>
          <w:sz w:val="22"/>
          <w:szCs w:val="22"/>
        </w:rPr>
        <w:t>Carrier must be rated “A-” or higher in the AM Best Guide with a Financial Size Category of at least VI,</w:t>
      </w:r>
    </w:p>
    <w:p w14:paraId="7D700567" w14:textId="77777777" w:rsidR="003B7E71" w:rsidRPr="00756C16" w:rsidRDefault="003B7E71" w:rsidP="003B7E71">
      <w:pPr>
        <w:widowControl w:val="0"/>
        <w:numPr>
          <w:ilvl w:val="0"/>
          <w:numId w:val="5"/>
        </w:numPr>
        <w:jc w:val="both"/>
        <w:rPr>
          <w:rFonts w:ascii="Times New Roman" w:hAnsi="Times New Roman"/>
          <w:b/>
          <w:spacing w:val="-3"/>
          <w:sz w:val="22"/>
          <w:szCs w:val="22"/>
        </w:rPr>
      </w:pPr>
      <w:r w:rsidRPr="00756C16">
        <w:rPr>
          <w:rFonts w:ascii="Times New Roman" w:hAnsi="Times New Roman"/>
          <w:spacing w:val="-3"/>
          <w:sz w:val="22"/>
          <w:szCs w:val="22"/>
        </w:rPr>
        <w:t>Named Insured must be Grantee's full legal name,</w:t>
      </w:r>
    </w:p>
    <w:p w14:paraId="4D8C293E" w14:textId="77777777" w:rsidR="003B7E71" w:rsidRPr="00756C16" w:rsidRDefault="003B7E71" w:rsidP="003B7E71">
      <w:pPr>
        <w:widowControl w:val="0"/>
        <w:numPr>
          <w:ilvl w:val="0"/>
          <w:numId w:val="5"/>
        </w:numPr>
        <w:jc w:val="both"/>
        <w:rPr>
          <w:rFonts w:ascii="Times New Roman" w:hAnsi="Times New Roman"/>
          <w:b/>
          <w:spacing w:val="-3"/>
          <w:sz w:val="22"/>
          <w:szCs w:val="22"/>
        </w:rPr>
      </w:pPr>
      <w:r w:rsidRPr="00756C16">
        <w:rPr>
          <w:rFonts w:ascii="Times New Roman" w:hAnsi="Times New Roman"/>
          <w:sz w:val="22"/>
          <w:szCs w:val="22"/>
        </w:rPr>
        <w:t>Policy must be current, not expired, and include all endorsements</w:t>
      </w:r>
    </w:p>
    <w:p w14:paraId="15170DDC" w14:textId="77777777" w:rsidR="003B7E71" w:rsidRPr="00756C16" w:rsidRDefault="003B7E71" w:rsidP="003B7E71">
      <w:pPr>
        <w:widowControl w:val="0"/>
        <w:numPr>
          <w:ilvl w:val="0"/>
          <w:numId w:val="5"/>
        </w:numPr>
        <w:jc w:val="both"/>
        <w:rPr>
          <w:rFonts w:ascii="Times New Roman" w:hAnsi="Times New Roman"/>
          <w:b/>
          <w:spacing w:val="-3"/>
          <w:sz w:val="22"/>
          <w:szCs w:val="22"/>
        </w:rPr>
      </w:pPr>
      <w:r w:rsidRPr="00756C16">
        <w:rPr>
          <w:rFonts w:ascii="Times New Roman" w:hAnsi="Times New Roman"/>
          <w:spacing w:val="-3"/>
          <w:sz w:val="22"/>
          <w:szCs w:val="22"/>
        </w:rPr>
        <w:t xml:space="preserve">Certificate must be signed by an authorized representative of the insurance carrier, </w:t>
      </w:r>
    </w:p>
    <w:p w14:paraId="307B7EB3" w14:textId="2D670501" w:rsidR="003B7E71" w:rsidRPr="00756C16" w:rsidRDefault="003B7E71" w:rsidP="003B7E71">
      <w:pPr>
        <w:widowControl w:val="0"/>
        <w:numPr>
          <w:ilvl w:val="0"/>
          <w:numId w:val="5"/>
        </w:numPr>
        <w:jc w:val="both"/>
        <w:rPr>
          <w:rFonts w:ascii="Times New Roman" w:hAnsi="Times New Roman"/>
          <w:b/>
          <w:spacing w:val="-3"/>
          <w:sz w:val="22"/>
          <w:szCs w:val="22"/>
        </w:rPr>
      </w:pPr>
      <w:r w:rsidRPr="00756C16">
        <w:rPr>
          <w:rFonts w:ascii="Times New Roman" w:hAnsi="Times New Roman"/>
          <w:spacing w:val="-3"/>
          <w:sz w:val="22"/>
          <w:szCs w:val="22"/>
        </w:rPr>
        <w:t>Additional Insured/ Certificate holder/ (as required) must appear as:</w:t>
      </w:r>
    </w:p>
    <w:p w14:paraId="0CB86156" w14:textId="77777777" w:rsidR="004C3F29" w:rsidRPr="00756C16" w:rsidRDefault="004C3F29" w:rsidP="003B7E71">
      <w:pPr>
        <w:ind w:left="1080" w:firstLine="360"/>
        <w:jc w:val="both"/>
        <w:rPr>
          <w:rFonts w:ascii="Times New Roman" w:hAnsi="Times New Roman"/>
          <w:spacing w:val="-3"/>
          <w:sz w:val="22"/>
          <w:szCs w:val="22"/>
        </w:rPr>
      </w:pPr>
      <w:r w:rsidRPr="00756C16">
        <w:rPr>
          <w:rFonts w:ascii="Times New Roman" w:hAnsi="Times New Roman"/>
          <w:spacing w:val="-3"/>
          <w:sz w:val="22"/>
          <w:szCs w:val="22"/>
        </w:rPr>
        <w:t>Chautauqua County Land Bank Corporation</w:t>
      </w:r>
    </w:p>
    <w:p w14:paraId="187ADE96" w14:textId="524EA043" w:rsidR="004C3F29" w:rsidRPr="00756C16" w:rsidRDefault="008D69B1" w:rsidP="003B7E71">
      <w:pPr>
        <w:ind w:left="1080" w:firstLine="360"/>
        <w:jc w:val="both"/>
        <w:rPr>
          <w:rFonts w:ascii="Times New Roman" w:hAnsi="Times New Roman"/>
          <w:spacing w:val="-3"/>
          <w:sz w:val="22"/>
          <w:szCs w:val="22"/>
        </w:rPr>
      </w:pPr>
      <w:r w:rsidRPr="00756C16">
        <w:rPr>
          <w:rFonts w:ascii="Times New Roman" w:hAnsi="Times New Roman"/>
          <w:spacing w:val="-3"/>
          <w:sz w:val="22"/>
          <w:szCs w:val="22"/>
        </w:rPr>
        <w:t>214 Central Avenue, Suite 213</w:t>
      </w:r>
    </w:p>
    <w:p w14:paraId="3CB9D8C4" w14:textId="77777777" w:rsidR="004C3F29" w:rsidRPr="00756C16" w:rsidRDefault="004C3F29" w:rsidP="003B7E71">
      <w:pPr>
        <w:ind w:left="1080" w:firstLine="360"/>
        <w:jc w:val="both"/>
        <w:rPr>
          <w:rFonts w:ascii="Times New Roman" w:hAnsi="Times New Roman"/>
          <w:spacing w:val="-3"/>
          <w:sz w:val="22"/>
          <w:szCs w:val="22"/>
        </w:rPr>
      </w:pPr>
      <w:r w:rsidRPr="00756C16">
        <w:rPr>
          <w:rFonts w:ascii="Times New Roman" w:hAnsi="Times New Roman"/>
          <w:spacing w:val="-3"/>
          <w:sz w:val="22"/>
          <w:szCs w:val="22"/>
        </w:rPr>
        <w:t>Fredonia, NY 14063</w:t>
      </w:r>
    </w:p>
    <w:p w14:paraId="40BD9A7D" w14:textId="77777777" w:rsidR="004C3F29" w:rsidRPr="00756C16" w:rsidRDefault="004C3F29" w:rsidP="003B7E71">
      <w:pPr>
        <w:ind w:left="1080" w:firstLine="360"/>
        <w:jc w:val="both"/>
        <w:rPr>
          <w:rFonts w:ascii="Times New Roman" w:hAnsi="Times New Roman"/>
          <w:spacing w:val="-3"/>
          <w:sz w:val="22"/>
          <w:szCs w:val="22"/>
        </w:rPr>
      </w:pPr>
    </w:p>
    <w:p w14:paraId="5B88FBC8" w14:textId="63F00247" w:rsidR="004C3F29" w:rsidRPr="00756C16" w:rsidRDefault="008D69B1" w:rsidP="003B7E71">
      <w:pPr>
        <w:ind w:left="1080" w:firstLine="360"/>
        <w:jc w:val="both"/>
        <w:rPr>
          <w:rFonts w:ascii="Times New Roman" w:hAnsi="Times New Roman"/>
          <w:spacing w:val="-3"/>
          <w:sz w:val="22"/>
          <w:szCs w:val="22"/>
        </w:rPr>
      </w:pPr>
      <w:r w:rsidRPr="00756C16">
        <w:rPr>
          <w:rFonts w:ascii="Times New Roman" w:hAnsi="Times New Roman"/>
          <w:spacing w:val="-3"/>
          <w:sz w:val="22"/>
          <w:szCs w:val="22"/>
        </w:rPr>
        <w:t>Chautauqua County Government</w:t>
      </w:r>
    </w:p>
    <w:p w14:paraId="52BE74F7" w14:textId="77777777" w:rsidR="008D69B1" w:rsidRPr="00756C16" w:rsidRDefault="008D69B1" w:rsidP="003B7E71">
      <w:pPr>
        <w:ind w:left="1080" w:firstLine="360"/>
        <w:jc w:val="both"/>
        <w:rPr>
          <w:rFonts w:ascii="Times New Roman" w:hAnsi="Times New Roman"/>
          <w:spacing w:val="-3"/>
          <w:sz w:val="22"/>
          <w:szCs w:val="22"/>
          <w:lang w:val="fr-FR"/>
        </w:rPr>
      </w:pPr>
      <w:proofErr w:type="spellStart"/>
      <w:r w:rsidRPr="00756C16">
        <w:rPr>
          <w:rFonts w:ascii="Times New Roman" w:hAnsi="Times New Roman"/>
          <w:spacing w:val="-3"/>
          <w:sz w:val="22"/>
          <w:szCs w:val="22"/>
          <w:lang w:val="fr-FR"/>
        </w:rPr>
        <w:t>Gerace</w:t>
      </w:r>
      <w:proofErr w:type="spellEnd"/>
      <w:r w:rsidRPr="00756C16">
        <w:rPr>
          <w:rFonts w:ascii="Times New Roman" w:hAnsi="Times New Roman"/>
          <w:spacing w:val="-3"/>
          <w:sz w:val="22"/>
          <w:szCs w:val="22"/>
          <w:lang w:val="fr-FR"/>
        </w:rPr>
        <w:t xml:space="preserve"> Office Building</w:t>
      </w:r>
    </w:p>
    <w:p w14:paraId="09943BC2" w14:textId="6F9A15F3" w:rsidR="008D69B1" w:rsidRPr="00756C16" w:rsidRDefault="008D69B1" w:rsidP="003B7E71">
      <w:pPr>
        <w:ind w:left="1080" w:firstLine="360"/>
        <w:jc w:val="both"/>
        <w:rPr>
          <w:rFonts w:ascii="Times New Roman" w:hAnsi="Times New Roman"/>
          <w:spacing w:val="-3"/>
          <w:sz w:val="22"/>
          <w:szCs w:val="22"/>
          <w:lang w:val="fr-FR"/>
        </w:rPr>
      </w:pPr>
      <w:r w:rsidRPr="00756C16">
        <w:rPr>
          <w:rFonts w:ascii="Times New Roman" w:hAnsi="Times New Roman"/>
          <w:spacing w:val="-3"/>
          <w:sz w:val="22"/>
          <w:szCs w:val="22"/>
          <w:lang w:val="fr-FR"/>
        </w:rPr>
        <w:t>3 No. Erie Street</w:t>
      </w:r>
    </w:p>
    <w:p w14:paraId="0548EC8A" w14:textId="71FA2BDF" w:rsidR="008D69B1" w:rsidRPr="00756C16" w:rsidRDefault="008D69B1" w:rsidP="003B7E71">
      <w:pPr>
        <w:ind w:left="1080" w:firstLine="360"/>
        <w:jc w:val="both"/>
        <w:rPr>
          <w:rFonts w:ascii="Times New Roman" w:hAnsi="Times New Roman"/>
          <w:spacing w:val="-3"/>
          <w:sz w:val="22"/>
          <w:szCs w:val="22"/>
          <w:lang w:val="fr-FR"/>
        </w:rPr>
      </w:pPr>
      <w:proofErr w:type="spellStart"/>
      <w:r w:rsidRPr="00756C16">
        <w:rPr>
          <w:rFonts w:ascii="Times New Roman" w:hAnsi="Times New Roman"/>
          <w:spacing w:val="-3"/>
          <w:sz w:val="22"/>
          <w:szCs w:val="22"/>
          <w:lang w:val="fr-FR"/>
        </w:rPr>
        <w:t>Mayville</w:t>
      </w:r>
      <w:proofErr w:type="spellEnd"/>
      <w:r w:rsidRPr="00756C16">
        <w:rPr>
          <w:rFonts w:ascii="Times New Roman" w:hAnsi="Times New Roman"/>
          <w:spacing w:val="-3"/>
          <w:sz w:val="22"/>
          <w:szCs w:val="22"/>
          <w:lang w:val="fr-FR"/>
        </w:rPr>
        <w:t>, NY 14757</w:t>
      </w:r>
    </w:p>
    <w:p w14:paraId="2571F0E4" w14:textId="1F331D71" w:rsidR="008D69B1" w:rsidRPr="00756C16" w:rsidRDefault="008D69B1" w:rsidP="003B7E71">
      <w:pPr>
        <w:ind w:left="1080" w:firstLine="360"/>
        <w:jc w:val="both"/>
        <w:rPr>
          <w:rFonts w:ascii="Times New Roman" w:hAnsi="Times New Roman"/>
          <w:spacing w:val="-3"/>
          <w:sz w:val="22"/>
          <w:szCs w:val="22"/>
          <w:lang w:val="fr-FR"/>
        </w:rPr>
      </w:pPr>
    </w:p>
    <w:p w14:paraId="6897341B" w14:textId="77777777" w:rsidR="008D69B1" w:rsidRPr="00756C16" w:rsidRDefault="008D69B1" w:rsidP="008D69B1">
      <w:pPr>
        <w:ind w:left="1080" w:firstLine="360"/>
        <w:jc w:val="both"/>
        <w:rPr>
          <w:rFonts w:ascii="Times New Roman" w:hAnsi="Times New Roman"/>
          <w:spacing w:val="-3"/>
          <w:sz w:val="22"/>
          <w:szCs w:val="22"/>
        </w:rPr>
      </w:pPr>
      <w:r w:rsidRPr="00756C16">
        <w:rPr>
          <w:rFonts w:ascii="Times New Roman" w:hAnsi="Times New Roman"/>
          <w:spacing w:val="-3"/>
          <w:sz w:val="22"/>
          <w:szCs w:val="22"/>
        </w:rPr>
        <w:t>Housing Trust Fund Corp. &amp;</w:t>
      </w:r>
    </w:p>
    <w:p w14:paraId="0BB6E1EE" w14:textId="77777777" w:rsidR="008D69B1" w:rsidRPr="00756C16" w:rsidRDefault="008D69B1" w:rsidP="008D69B1">
      <w:pPr>
        <w:ind w:left="1080" w:firstLine="360"/>
        <w:jc w:val="both"/>
        <w:rPr>
          <w:rFonts w:ascii="Times New Roman" w:hAnsi="Times New Roman"/>
          <w:spacing w:val="-3"/>
          <w:sz w:val="22"/>
          <w:szCs w:val="22"/>
        </w:rPr>
      </w:pPr>
      <w:r w:rsidRPr="00756C16">
        <w:rPr>
          <w:rFonts w:ascii="Times New Roman" w:hAnsi="Times New Roman"/>
          <w:spacing w:val="-3"/>
          <w:sz w:val="22"/>
          <w:szCs w:val="22"/>
        </w:rPr>
        <w:t>The State of New York</w:t>
      </w:r>
    </w:p>
    <w:p w14:paraId="0206188B" w14:textId="77777777" w:rsidR="008D69B1" w:rsidRPr="00756C16" w:rsidRDefault="008D69B1" w:rsidP="008D69B1">
      <w:pPr>
        <w:ind w:left="1080" w:firstLine="360"/>
        <w:jc w:val="both"/>
        <w:rPr>
          <w:rFonts w:ascii="Times New Roman" w:hAnsi="Times New Roman"/>
          <w:spacing w:val="-3"/>
          <w:sz w:val="22"/>
          <w:szCs w:val="22"/>
        </w:rPr>
      </w:pPr>
      <w:r w:rsidRPr="00756C16">
        <w:rPr>
          <w:rFonts w:ascii="Times New Roman" w:hAnsi="Times New Roman"/>
          <w:spacing w:val="-3"/>
          <w:sz w:val="22"/>
          <w:szCs w:val="22"/>
        </w:rPr>
        <w:t>38-40 State Street</w:t>
      </w:r>
    </w:p>
    <w:p w14:paraId="06FD3DE3" w14:textId="3EE83F00" w:rsidR="008D69B1" w:rsidRPr="00756C16" w:rsidRDefault="008D69B1" w:rsidP="008D69B1">
      <w:pPr>
        <w:ind w:left="1080" w:firstLine="360"/>
        <w:jc w:val="both"/>
        <w:rPr>
          <w:rFonts w:ascii="Times New Roman" w:hAnsi="Times New Roman"/>
          <w:spacing w:val="-3"/>
          <w:sz w:val="22"/>
          <w:szCs w:val="22"/>
          <w:lang w:val="fr-FR"/>
        </w:rPr>
      </w:pPr>
      <w:r w:rsidRPr="00756C16">
        <w:rPr>
          <w:rFonts w:ascii="Times New Roman" w:hAnsi="Times New Roman"/>
          <w:spacing w:val="-3"/>
          <w:sz w:val="22"/>
          <w:szCs w:val="22"/>
        </w:rPr>
        <w:t>Albany NY 12207</w:t>
      </w:r>
    </w:p>
    <w:p w14:paraId="1B3A455A" w14:textId="77777777" w:rsidR="004C3F29" w:rsidRPr="00756C16" w:rsidRDefault="004C3F29" w:rsidP="003B7E71">
      <w:pPr>
        <w:ind w:left="1080" w:firstLine="360"/>
        <w:jc w:val="both"/>
        <w:rPr>
          <w:rFonts w:ascii="Times New Roman" w:hAnsi="Times New Roman"/>
          <w:b/>
          <w:spacing w:val="-3"/>
          <w:sz w:val="22"/>
          <w:szCs w:val="22"/>
        </w:rPr>
      </w:pPr>
    </w:p>
    <w:p w14:paraId="258353D5" w14:textId="77777777" w:rsidR="007A157F" w:rsidRPr="00756C16" w:rsidRDefault="007A157F">
      <w:pPr>
        <w:rPr>
          <w:sz w:val="22"/>
          <w:szCs w:val="22"/>
        </w:rPr>
      </w:pPr>
      <w:bookmarkStart w:id="0" w:name="_GoBack"/>
      <w:bookmarkEnd w:id="0"/>
    </w:p>
    <w:sectPr w:rsidR="007A157F" w:rsidRPr="0075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E7C8B"/>
    <w:multiLevelType w:val="hybridMultilevel"/>
    <w:tmpl w:val="53FE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2602D"/>
    <w:multiLevelType w:val="hybridMultilevel"/>
    <w:tmpl w:val="B080C4F8"/>
    <w:lvl w:ilvl="0" w:tplc="D2E63F0A">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E7EE1"/>
    <w:multiLevelType w:val="multilevel"/>
    <w:tmpl w:val="1750A0E0"/>
    <w:lvl w:ilvl="0">
      <w:start w:val="1"/>
      <w:numFmt w:val="decimal"/>
      <w:lvlText w:val="%1."/>
      <w:lvlJc w:val="left"/>
      <w:pPr>
        <w:ind w:left="480" w:hanging="360"/>
      </w:pPr>
      <w:rPr>
        <w:rFonts w:hint="default"/>
        <w:b/>
        <w:u w:val="none"/>
      </w:rPr>
    </w:lvl>
    <w:lvl w:ilvl="1">
      <w:start w:val="1"/>
      <w:numFmt w:val="decimal"/>
      <w:isLgl/>
      <w:lvlText w:val="%1.%2"/>
      <w:lvlJc w:val="left"/>
      <w:pPr>
        <w:ind w:left="840" w:hanging="360"/>
      </w:pPr>
      <w:rPr>
        <w:rFonts w:hint="default"/>
        <w:b/>
        <w:u w:val="none"/>
      </w:rPr>
    </w:lvl>
    <w:lvl w:ilvl="2">
      <w:start w:val="1"/>
      <w:numFmt w:val="decimal"/>
      <w:isLgl/>
      <w:lvlText w:val="%1.%2.%3"/>
      <w:lvlJc w:val="left"/>
      <w:pPr>
        <w:ind w:left="1560" w:hanging="720"/>
      </w:pPr>
      <w:rPr>
        <w:rFonts w:hint="default"/>
        <w:b/>
        <w:u w:val="none"/>
      </w:rPr>
    </w:lvl>
    <w:lvl w:ilvl="3">
      <w:start w:val="1"/>
      <w:numFmt w:val="decimal"/>
      <w:isLgl/>
      <w:lvlText w:val="%1.%2.%3.%4"/>
      <w:lvlJc w:val="left"/>
      <w:pPr>
        <w:ind w:left="1920" w:hanging="720"/>
      </w:pPr>
      <w:rPr>
        <w:rFonts w:hint="default"/>
        <w:b/>
        <w:u w:val="single"/>
      </w:rPr>
    </w:lvl>
    <w:lvl w:ilvl="4">
      <w:start w:val="1"/>
      <w:numFmt w:val="decimal"/>
      <w:isLgl/>
      <w:lvlText w:val="%1.%2.%3.%4.%5"/>
      <w:lvlJc w:val="left"/>
      <w:pPr>
        <w:ind w:left="2280" w:hanging="720"/>
      </w:pPr>
      <w:rPr>
        <w:rFonts w:hint="default"/>
        <w:b/>
        <w:u w:val="single"/>
      </w:rPr>
    </w:lvl>
    <w:lvl w:ilvl="5">
      <w:start w:val="1"/>
      <w:numFmt w:val="decimal"/>
      <w:isLgl/>
      <w:lvlText w:val="%1.%2.%3.%4.%5.%6"/>
      <w:lvlJc w:val="left"/>
      <w:pPr>
        <w:ind w:left="3000" w:hanging="1080"/>
      </w:pPr>
      <w:rPr>
        <w:rFonts w:hint="default"/>
        <w:b/>
        <w:u w:val="single"/>
      </w:rPr>
    </w:lvl>
    <w:lvl w:ilvl="6">
      <w:start w:val="1"/>
      <w:numFmt w:val="decimal"/>
      <w:isLgl/>
      <w:lvlText w:val="%1.%2.%3.%4.%5.%6.%7"/>
      <w:lvlJc w:val="left"/>
      <w:pPr>
        <w:ind w:left="3360" w:hanging="1080"/>
      </w:pPr>
      <w:rPr>
        <w:rFonts w:hint="default"/>
        <w:b/>
        <w:u w:val="single"/>
      </w:rPr>
    </w:lvl>
    <w:lvl w:ilvl="7">
      <w:start w:val="1"/>
      <w:numFmt w:val="decimal"/>
      <w:isLgl/>
      <w:lvlText w:val="%1.%2.%3.%4.%5.%6.%7.%8"/>
      <w:lvlJc w:val="left"/>
      <w:pPr>
        <w:ind w:left="4080" w:hanging="1440"/>
      </w:pPr>
      <w:rPr>
        <w:rFonts w:hint="default"/>
        <w:b/>
        <w:u w:val="single"/>
      </w:rPr>
    </w:lvl>
    <w:lvl w:ilvl="8">
      <w:start w:val="1"/>
      <w:numFmt w:val="decimal"/>
      <w:isLgl/>
      <w:lvlText w:val="%1.%2.%3.%4.%5.%6.%7.%8.%9"/>
      <w:lvlJc w:val="left"/>
      <w:pPr>
        <w:ind w:left="4440" w:hanging="1440"/>
      </w:pPr>
      <w:rPr>
        <w:rFonts w:hint="default"/>
        <w:b/>
        <w:u w:val="single"/>
      </w:rPr>
    </w:lvl>
  </w:abstractNum>
  <w:abstractNum w:abstractNumId="3" w15:restartNumberingAfterBreak="0">
    <w:nsid w:val="6DF816EA"/>
    <w:multiLevelType w:val="hybridMultilevel"/>
    <w:tmpl w:val="6AA22C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73F302D9"/>
    <w:multiLevelType w:val="hybridMultilevel"/>
    <w:tmpl w:val="EEDACF8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68"/>
    <w:rsid w:val="000B54CA"/>
    <w:rsid w:val="00336F50"/>
    <w:rsid w:val="003B7E71"/>
    <w:rsid w:val="004C3F29"/>
    <w:rsid w:val="00756C16"/>
    <w:rsid w:val="007A157F"/>
    <w:rsid w:val="008D69B1"/>
    <w:rsid w:val="00AC4068"/>
    <w:rsid w:val="00F3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B612"/>
  <w15:chartTrackingRefBased/>
  <w15:docId w15:val="{B828E58C-3040-4E8D-A770-5FFB09F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06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4" ma:contentTypeDescription="Create a new document." ma:contentTypeScope="" ma:versionID="0aa45c7c1efcc107f7ff4e3b19d21bf4">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be1756890512d0769d67195cea7e0552"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8FE09-7F69-491A-BD9B-73BDF504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990B1-2533-4EF1-B2F5-E44C6C153E3F}">
  <ds:schemaRefs>
    <ds:schemaRef ds:uri="http://schemas.microsoft.com/sharepoint/v3/contenttype/forms"/>
  </ds:schemaRefs>
</ds:datastoreItem>
</file>

<file path=customXml/itemProps3.xml><?xml version="1.0" encoding="utf-8"?>
<ds:datastoreItem xmlns:ds="http://schemas.openxmlformats.org/officeDocument/2006/customXml" ds:itemID="{E819C0B0-41DA-4C88-8660-DD1E94FCAD80}">
  <ds:schemaRefs>
    <ds:schemaRef ds:uri="bee9a66e-368b-45fb-9c06-9e8442c842e5"/>
    <ds:schemaRef ds:uri="http://schemas.microsoft.com/office/2006/documentManagement/types"/>
    <ds:schemaRef ds:uri="http://purl.org/dc/elements/1.1/"/>
    <ds:schemaRef ds:uri="f001487c-90d3-486e-8476-76965f2946fc"/>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Paradis</dc:creator>
  <cp:keywords/>
  <dc:description/>
  <cp:lastModifiedBy>Gina Paradis</cp:lastModifiedBy>
  <cp:revision>3</cp:revision>
  <dcterms:created xsi:type="dcterms:W3CDTF">2022-09-22T13:40:00Z</dcterms:created>
  <dcterms:modified xsi:type="dcterms:W3CDTF">2022-09-22T13:40:00Z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